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8303" w14:textId="77777777" w:rsidR="00B57207" w:rsidRPr="006D4A01" w:rsidRDefault="00B57207" w:rsidP="00B57207">
      <w:pPr>
        <w:spacing w:line="240" w:lineRule="auto"/>
        <w:jc w:val="center"/>
        <w:rPr>
          <w:rFonts w:ascii="Book Antiqua" w:hAnsi="Book Antiqua" w:cstheme="majorBidi"/>
          <w:b/>
          <w:sz w:val="32"/>
          <w:szCs w:val="32"/>
        </w:rPr>
      </w:pPr>
      <w:bookmarkStart w:id="0" w:name="_Hlk198725067"/>
      <w:r w:rsidRPr="006D4A01">
        <w:rPr>
          <w:rFonts w:ascii="Book Antiqua" w:hAnsi="Book Antiqua" w:cstheme="majorBidi"/>
          <w:b/>
          <w:sz w:val="32"/>
          <w:szCs w:val="32"/>
        </w:rPr>
        <w:t xml:space="preserve">Resolution 1-01 </w:t>
      </w:r>
    </w:p>
    <w:p w14:paraId="6834D477" w14:textId="78F90D1B" w:rsidR="006D4A01" w:rsidRPr="006D4A01" w:rsidRDefault="006D4A01" w:rsidP="006D4A01">
      <w:pPr>
        <w:spacing w:line="240" w:lineRule="auto"/>
        <w:jc w:val="center"/>
        <w:rPr>
          <w:rFonts w:ascii="Book Antiqua" w:hAnsi="Book Antiqua" w:cstheme="majorBidi"/>
          <w:b/>
          <w:sz w:val="32"/>
          <w:szCs w:val="32"/>
        </w:rPr>
      </w:pPr>
      <w:r w:rsidRPr="006D4A01">
        <w:rPr>
          <w:rFonts w:ascii="Book Antiqua" w:hAnsi="Book Antiqua" w:cstheme="majorBidi"/>
          <w:b/>
          <w:sz w:val="32"/>
          <w:szCs w:val="32"/>
        </w:rPr>
        <w:t>To Study How to Amend the Practice of Issuing “Divine Calls” to Positions Not in the Direct Service of the Proclamation of the Gospel and the Administration of the Sacraments</w:t>
      </w:r>
      <w:bookmarkStart w:id="1" w:name="_Hlk198725508"/>
    </w:p>
    <w:p w14:paraId="10A5A83C" w14:textId="77777777" w:rsidR="00885826" w:rsidRPr="006D4A01" w:rsidRDefault="00311485" w:rsidP="00FB5D52">
      <w:pPr>
        <w:spacing w:line="240" w:lineRule="auto"/>
        <w:ind w:firstLine="360"/>
        <w:rPr>
          <w:rFonts w:ascii="Book Antiqua" w:hAnsi="Book Antiqua" w:cstheme="majorBidi"/>
          <w:sz w:val="28"/>
          <w:szCs w:val="28"/>
        </w:rPr>
      </w:pPr>
      <w:bookmarkStart w:id="2" w:name="_Hlk198725843"/>
      <w:bookmarkStart w:id="3" w:name="_Hlk198725853"/>
      <w:bookmarkEnd w:id="1"/>
      <w:r w:rsidRPr="006D4A01">
        <w:rPr>
          <w:rFonts w:ascii="Book Antiqua" w:hAnsi="Book Antiqua" w:cstheme="majorBidi"/>
          <w:caps/>
          <w:sz w:val="28"/>
          <w:szCs w:val="28"/>
        </w:rPr>
        <w:t>W</w:t>
      </w:r>
      <w:r w:rsidRPr="006D4A01">
        <w:rPr>
          <w:rFonts w:ascii="Book Antiqua" w:hAnsi="Book Antiqua" w:cstheme="majorBidi"/>
          <w:smallCaps/>
          <w:sz w:val="28"/>
          <w:szCs w:val="28"/>
        </w:rPr>
        <w:t>hereas</w:t>
      </w:r>
      <w:bookmarkEnd w:id="2"/>
      <w:r w:rsidR="00E055FB" w:rsidRPr="006D4A01">
        <w:rPr>
          <w:rFonts w:ascii="Book Antiqua" w:hAnsi="Book Antiqua" w:cstheme="majorBidi"/>
          <w:sz w:val="28"/>
          <w:szCs w:val="28"/>
        </w:rPr>
        <w:t>,</w:t>
      </w:r>
      <w:bookmarkEnd w:id="3"/>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00E055FB" w:rsidRPr="006D4A01">
        <w:rPr>
          <w:rFonts w:ascii="Book Antiqua" w:hAnsi="Book Antiqua" w:cstheme="majorBidi"/>
          <w:sz w:val="28"/>
          <w:szCs w:val="28"/>
        </w:rPr>
        <w:t>he Augsburg Confession (AC) Article V “The Ministry” states, “So that we may obtain this faith [that our sins are forgiven for Christ’s sake, in Article IV], the ministry of teaching the gospel and administering the Sacraments was instituted;</w:t>
      </w:r>
      <w:r w:rsidR="00885826" w:rsidRPr="006D4A01">
        <w:rPr>
          <w:rFonts w:ascii="Book Antiqua" w:hAnsi="Book Antiqua" w:cstheme="majorBidi"/>
          <w:caps/>
          <w:sz w:val="28"/>
          <w:szCs w:val="28"/>
        </w:rPr>
        <w:t>”</w:t>
      </w:r>
      <w:r w:rsidR="006C63A2" w:rsidRPr="006D4A01">
        <w:rPr>
          <w:rFonts w:ascii="Book Antiqua" w:hAnsi="Book Antiqua" w:cstheme="majorBidi"/>
          <w:sz w:val="28"/>
          <w:szCs w:val="28"/>
          <w:vertAlign w:val="superscript"/>
        </w:rPr>
        <w:t>1</w:t>
      </w:r>
      <w:r w:rsidR="00E055FB" w:rsidRPr="006D4A01">
        <w:rPr>
          <w:rFonts w:ascii="Book Antiqua" w:hAnsi="Book Antiqua" w:cstheme="majorBidi"/>
          <w:sz w:val="28"/>
          <w:szCs w:val="28"/>
        </w:rPr>
        <w:t>; and</w:t>
      </w:r>
    </w:p>
    <w:bookmarkEnd w:id="0"/>
    <w:p w14:paraId="3E33CD5B" w14:textId="77777777" w:rsidR="00885826" w:rsidRPr="006D4A01" w:rsidRDefault="00311485" w:rsidP="00FB5D52">
      <w:pPr>
        <w:spacing w:line="240" w:lineRule="auto"/>
        <w:ind w:firstLine="360"/>
        <w:rPr>
          <w:rFonts w:ascii="Book Antiqua" w:hAnsi="Book Antiqua" w:cstheme="majorBidi"/>
          <w:caps/>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AC Article XIV “Order in the Church” states, “Our churches teach that no one should publicly teach in the church, or administer the Sacraments, without a rightly ordered call;” and</w:t>
      </w:r>
    </w:p>
    <w:p w14:paraId="6459E171" w14:textId="77777777" w:rsidR="00885826" w:rsidRPr="006D4A01" w:rsidRDefault="00311485" w:rsidP="00FB5D52">
      <w:pPr>
        <w:spacing w:line="240" w:lineRule="auto"/>
        <w:ind w:firstLine="360"/>
        <w:rPr>
          <w:rFonts w:ascii="Book Antiqua" w:hAnsi="Book Antiqua" w:cstheme="majorBidi"/>
          <w:caps/>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“The Power and Primacy of the Pope” (The Treatise), states, “The Gospel assigns those who preside over churches the command to teach the Gospel [Matthew 28:19], to forgive sins [John 20:23], to administer the Sacraments, and also to exercise jurisdiction;” and</w:t>
      </w:r>
    </w:p>
    <w:p w14:paraId="672A8D88" w14:textId="77777777" w:rsidR="00885826" w:rsidRPr="006D4A01" w:rsidRDefault="00311485" w:rsidP="00FB5D52">
      <w:pPr>
        <w:spacing w:line="240" w:lineRule="auto"/>
        <w:ind w:firstLine="360"/>
        <w:rPr>
          <w:rFonts w:ascii="Book Antiqua" w:hAnsi="Book Antiqua" w:cstheme="majorBidi"/>
          <w:caps/>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00E055FB" w:rsidRPr="006D4A01">
        <w:rPr>
          <w:rFonts w:ascii="Book Antiqua" w:hAnsi="Book Antiqua" w:cstheme="majorBidi"/>
          <w:sz w:val="28"/>
          <w:szCs w:val="28"/>
        </w:rPr>
        <w:t xml:space="preserve">he </w:t>
      </w:r>
      <w:r w:rsidR="00EA548E" w:rsidRPr="006D4A01">
        <w:rPr>
          <w:rFonts w:ascii="Book Antiqua" w:hAnsi="Book Antiqua" w:cstheme="majorBidi"/>
          <w:sz w:val="28"/>
          <w:szCs w:val="28"/>
        </w:rPr>
        <w:t>S</w:t>
      </w:r>
      <w:r w:rsidR="00E055FB" w:rsidRPr="006D4A01">
        <w:rPr>
          <w:rFonts w:ascii="Book Antiqua" w:hAnsi="Book Antiqua" w:cstheme="majorBidi"/>
          <w:sz w:val="28"/>
          <w:szCs w:val="28"/>
        </w:rPr>
        <w:t>malcald Articles Part III Article X teach that “…[the bishops] do not even want to be true bishops, but worldly lords and princes, who will neither preach, nor teach, nor baptize, nor administer the Lord’s Supper, nor perform any work or office of the church</w:t>
      </w:r>
      <w:r w:rsidR="00FD37C3" w:rsidRPr="006D4A01">
        <w:rPr>
          <w:rFonts w:ascii="Book Antiqua" w:hAnsi="Book Antiqua" w:cstheme="majorBidi"/>
          <w:sz w:val="28"/>
          <w:szCs w:val="28"/>
        </w:rPr>
        <w:t>;</w:t>
      </w:r>
      <w:r w:rsidR="00E055FB" w:rsidRPr="006D4A01">
        <w:rPr>
          <w:rFonts w:ascii="Book Antiqua" w:hAnsi="Book Antiqua" w:cstheme="majorBidi"/>
          <w:sz w:val="28"/>
          <w:szCs w:val="28"/>
        </w:rPr>
        <w:t>” and</w:t>
      </w:r>
    </w:p>
    <w:p w14:paraId="6684804F" w14:textId="77777777" w:rsidR="00885826" w:rsidRPr="006D4A01" w:rsidRDefault="00311485" w:rsidP="00FB5D52">
      <w:pPr>
        <w:spacing w:line="240" w:lineRule="auto"/>
        <w:ind w:firstLine="360"/>
        <w:rPr>
          <w:rFonts w:ascii="Book Antiqua" w:hAnsi="Book Antiqua" w:cstheme="majorBidi"/>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00E055FB" w:rsidRPr="006D4A01">
        <w:rPr>
          <w:rFonts w:ascii="Book Antiqua" w:hAnsi="Book Antiqua" w:cstheme="majorBidi"/>
          <w:sz w:val="28"/>
          <w:szCs w:val="28"/>
        </w:rPr>
        <w:t>he Constitution of the Synod accepts these confessions as a true and unadulterated statement and exposition of the Word of God; and</w:t>
      </w:r>
    </w:p>
    <w:p w14:paraId="043B31BE" w14:textId="77777777" w:rsidR="00E055FB" w:rsidRPr="006D4A01" w:rsidRDefault="00311485" w:rsidP="00FB5D52">
      <w:pPr>
        <w:spacing w:line="240" w:lineRule="auto"/>
        <w:ind w:firstLine="360"/>
        <w:rPr>
          <w:rFonts w:ascii="Book Antiqua" w:hAnsi="Book Antiqua" w:cstheme="majorBidi"/>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00E055FB" w:rsidRPr="006D4A01">
        <w:rPr>
          <w:rFonts w:ascii="Book Antiqua" w:hAnsi="Book Antiqua" w:cstheme="majorBidi"/>
          <w:sz w:val="28"/>
          <w:szCs w:val="28"/>
        </w:rPr>
        <w:t xml:space="preserve">he office ministry </w:t>
      </w:r>
      <w:r w:rsidR="003A243C" w:rsidRPr="006D4A01">
        <w:rPr>
          <w:rFonts w:ascii="Book Antiqua" w:hAnsi="Book Antiqua" w:cstheme="majorBidi"/>
          <w:sz w:val="28"/>
          <w:szCs w:val="28"/>
        </w:rPr>
        <w:t xml:space="preserve">is rightly called a divine office because it was divinely instituted by Christ [Ephesian 4:11, </w:t>
      </w:r>
      <w:r w:rsidR="00893AE1" w:rsidRPr="006D4A01">
        <w:rPr>
          <w:rFonts w:ascii="Book Antiqua" w:hAnsi="Book Antiqua" w:cstheme="majorBidi"/>
          <w:sz w:val="28"/>
          <w:szCs w:val="28"/>
        </w:rPr>
        <w:t xml:space="preserve">Titus 1:5, </w:t>
      </w:r>
      <w:r w:rsidR="003A243C" w:rsidRPr="006D4A01">
        <w:rPr>
          <w:rFonts w:ascii="Book Antiqua" w:hAnsi="Book Antiqua" w:cstheme="majorBidi"/>
          <w:sz w:val="28"/>
          <w:szCs w:val="28"/>
        </w:rPr>
        <w:t>Acts 14:23], and other offices not instituted by Christ but instituted by men, which the Church has freedom to create by human arrangement [Treatise, ¶¶ 60-82</w:t>
      </w:r>
      <w:r w:rsidR="00E256C1" w:rsidRPr="006D4A01">
        <w:rPr>
          <w:rFonts w:ascii="Book Antiqua" w:hAnsi="Book Antiqua" w:cstheme="majorBidi"/>
          <w:sz w:val="28"/>
          <w:szCs w:val="28"/>
        </w:rPr>
        <w:t>]</w:t>
      </w:r>
      <w:r w:rsidR="003A243C" w:rsidRPr="006D4A01">
        <w:rPr>
          <w:rFonts w:ascii="Book Antiqua" w:hAnsi="Book Antiqua" w:cstheme="majorBidi"/>
          <w:sz w:val="28"/>
          <w:szCs w:val="28"/>
        </w:rPr>
        <w:t>, should not be called divine offices; and</w:t>
      </w:r>
    </w:p>
    <w:p w14:paraId="6DEFEDBC" w14:textId="14A43858" w:rsidR="00885826" w:rsidRPr="006D4A01" w:rsidRDefault="00311485" w:rsidP="00FB5D52">
      <w:pPr>
        <w:spacing w:line="240" w:lineRule="auto"/>
        <w:ind w:firstLine="360"/>
        <w:rPr>
          <w:rFonts w:ascii="Book Antiqua" w:hAnsi="Book Antiqua" w:cstheme="majorBidi"/>
          <w:caps/>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A</w:t>
      </w:r>
      <w:r w:rsidR="00E055FB" w:rsidRPr="006D4A01">
        <w:rPr>
          <w:rFonts w:ascii="Book Antiqua" w:hAnsi="Book Antiqua" w:cstheme="majorBidi"/>
          <w:sz w:val="28"/>
          <w:szCs w:val="28"/>
        </w:rPr>
        <w:t xml:space="preserve"> number of “called” positions within Synod and its auxiliaries do not require teaching the Word or administering the Sacraments; and</w:t>
      </w:r>
    </w:p>
    <w:p w14:paraId="2880297A" w14:textId="2390BE0B" w:rsidR="00885826" w:rsidRPr="006D4A01" w:rsidRDefault="00311485" w:rsidP="00FB5D52">
      <w:pPr>
        <w:spacing w:line="240" w:lineRule="auto"/>
        <w:ind w:firstLine="360"/>
        <w:rPr>
          <w:rFonts w:ascii="Book Antiqua" w:hAnsi="Book Antiqua" w:cstheme="majorBidi"/>
          <w:caps/>
          <w:sz w:val="28"/>
          <w:szCs w:val="28"/>
        </w:rPr>
      </w:pPr>
      <w:r w:rsidRPr="006D4A01">
        <w:rPr>
          <w:rFonts w:ascii="Book Antiqua" w:hAnsi="Book Antiqua" w:cstheme="majorBidi"/>
          <w:caps/>
          <w:sz w:val="28"/>
          <w:szCs w:val="28"/>
        </w:rPr>
        <w:t>W</w:t>
      </w:r>
      <w:r w:rsidRPr="006D4A01">
        <w:rPr>
          <w:rFonts w:ascii="Book Antiqua" w:hAnsi="Book Antiqua" w:cstheme="majorBidi"/>
          <w:smallCaps/>
          <w:sz w:val="28"/>
          <w:szCs w:val="28"/>
        </w:rPr>
        <w:t>hereas</w:t>
      </w:r>
      <w:r w:rsidR="00E055FB"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00E055FB" w:rsidRPr="006D4A01">
        <w:rPr>
          <w:rFonts w:ascii="Book Antiqua" w:hAnsi="Book Antiqua" w:cstheme="majorBidi"/>
          <w:sz w:val="28"/>
          <w:szCs w:val="28"/>
        </w:rPr>
        <w:t xml:space="preserve">he practice of issuing </w:t>
      </w:r>
      <w:r w:rsidR="004C61B7" w:rsidRPr="006D4A01">
        <w:rPr>
          <w:rFonts w:ascii="Book Antiqua" w:hAnsi="Book Antiqua" w:cstheme="majorBidi"/>
          <w:sz w:val="28"/>
          <w:szCs w:val="28"/>
        </w:rPr>
        <w:t xml:space="preserve">divine </w:t>
      </w:r>
      <w:r w:rsidR="00E055FB" w:rsidRPr="006D4A01">
        <w:rPr>
          <w:rFonts w:ascii="Book Antiqua" w:hAnsi="Book Antiqua" w:cstheme="majorBidi"/>
          <w:sz w:val="28"/>
          <w:szCs w:val="28"/>
        </w:rPr>
        <w:t xml:space="preserve">calls to positions that are not in the direct service of the proclamation of the Gospel and administration of the Sacraments conflicts with the referenced portions of the confessions, and creates confusion regarding the nature of the </w:t>
      </w:r>
      <w:r w:rsidR="004C61B7" w:rsidRPr="006D4A01">
        <w:rPr>
          <w:rFonts w:ascii="Book Antiqua" w:hAnsi="Book Antiqua" w:cstheme="majorBidi"/>
          <w:sz w:val="28"/>
          <w:szCs w:val="28"/>
        </w:rPr>
        <w:t xml:space="preserve">divine </w:t>
      </w:r>
      <w:r w:rsidR="00E055FB" w:rsidRPr="006D4A01">
        <w:rPr>
          <w:rFonts w:ascii="Book Antiqua" w:hAnsi="Book Antiqua" w:cstheme="majorBidi"/>
          <w:sz w:val="28"/>
          <w:szCs w:val="28"/>
        </w:rPr>
        <w:t>call; therefore be it</w:t>
      </w:r>
    </w:p>
    <w:p w14:paraId="57C4019D" w14:textId="24EC8F66" w:rsidR="00885826" w:rsidRPr="006D4A01" w:rsidRDefault="00E055FB" w:rsidP="00FB5D52">
      <w:pPr>
        <w:spacing w:line="240" w:lineRule="auto"/>
        <w:ind w:firstLine="360"/>
        <w:rPr>
          <w:rFonts w:ascii="Book Antiqua" w:hAnsi="Book Antiqua" w:cstheme="majorBidi"/>
          <w:caps/>
          <w:sz w:val="28"/>
          <w:szCs w:val="28"/>
        </w:rPr>
      </w:pPr>
      <w:bookmarkStart w:id="4" w:name="_Hlk198725879"/>
      <w:r w:rsidRPr="006D4A01">
        <w:rPr>
          <w:rFonts w:ascii="Book Antiqua" w:hAnsi="Book Antiqua" w:cstheme="majorBidi"/>
          <w:i/>
          <w:sz w:val="28"/>
          <w:szCs w:val="28"/>
        </w:rPr>
        <w:t>Resolved</w:t>
      </w:r>
      <w:r w:rsidRPr="006D4A01">
        <w:rPr>
          <w:rFonts w:ascii="Book Antiqua" w:hAnsi="Book Antiqua" w:cstheme="majorBidi"/>
          <w:sz w:val="28"/>
          <w:szCs w:val="28"/>
        </w:rPr>
        <w:t>,</w:t>
      </w:r>
      <w:bookmarkEnd w:id="4"/>
      <w:r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Pr="006D4A01">
        <w:rPr>
          <w:rFonts w:ascii="Book Antiqua" w:hAnsi="Book Antiqua" w:cstheme="majorBidi"/>
          <w:sz w:val="28"/>
          <w:szCs w:val="28"/>
        </w:rPr>
        <w:t xml:space="preserve">hat the Montana District Convention memorialize the </w:t>
      </w:r>
      <w:r w:rsidR="00077E0A" w:rsidRPr="006D4A01">
        <w:rPr>
          <w:rFonts w:ascii="Book Antiqua" w:hAnsi="Book Antiqua" w:cstheme="majorBidi"/>
          <w:sz w:val="28"/>
          <w:szCs w:val="28"/>
        </w:rPr>
        <w:t>LCMS</w:t>
      </w:r>
      <w:r w:rsidRPr="006D4A01">
        <w:rPr>
          <w:rFonts w:ascii="Book Antiqua" w:hAnsi="Book Antiqua" w:cstheme="majorBidi"/>
          <w:sz w:val="28"/>
          <w:szCs w:val="28"/>
        </w:rPr>
        <w:t xml:space="preserve"> convention in 20</w:t>
      </w:r>
      <w:r w:rsidR="003B43B5" w:rsidRPr="006D4A01">
        <w:rPr>
          <w:rFonts w:ascii="Book Antiqua" w:hAnsi="Book Antiqua" w:cstheme="majorBidi"/>
          <w:caps/>
          <w:sz w:val="28"/>
          <w:szCs w:val="28"/>
        </w:rPr>
        <w:t>26</w:t>
      </w:r>
      <w:r w:rsidRPr="006D4A01">
        <w:rPr>
          <w:rFonts w:ascii="Book Antiqua" w:hAnsi="Book Antiqua" w:cstheme="majorBidi"/>
          <w:sz w:val="28"/>
          <w:szCs w:val="28"/>
        </w:rPr>
        <w:t xml:space="preserve"> to direct the President of the </w:t>
      </w:r>
      <w:r w:rsidR="00077E0A" w:rsidRPr="006D4A01">
        <w:rPr>
          <w:rFonts w:ascii="Book Antiqua" w:hAnsi="Book Antiqua" w:cstheme="majorBidi"/>
          <w:sz w:val="28"/>
          <w:szCs w:val="28"/>
        </w:rPr>
        <w:t>LCMS</w:t>
      </w:r>
      <w:r w:rsidRPr="006D4A01">
        <w:rPr>
          <w:rFonts w:ascii="Book Antiqua" w:hAnsi="Book Antiqua" w:cstheme="majorBidi"/>
          <w:sz w:val="28"/>
          <w:szCs w:val="28"/>
        </w:rPr>
        <w:t xml:space="preserve"> to appoint a committee consisting of at least one (1) theological professor from each seminary and one (1) district president to study how the practice of issuing </w:t>
      </w:r>
      <w:r w:rsidR="004C61B7" w:rsidRPr="006D4A01">
        <w:rPr>
          <w:rFonts w:ascii="Book Antiqua" w:hAnsi="Book Antiqua" w:cstheme="majorBidi"/>
          <w:sz w:val="28"/>
          <w:szCs w:val="28"/>
        </w:rPr>
        <w:t xml:space="preserve">divine </w:t>
      </w:r>
      <w:r w:rsidRPr="006D4A01">
        <w:rPr>
          <w:rFonts w:ascii="Book Antiqua" w:hAnsi="Book Antiqua" w:cstheme="majorBidi"/>
          <w:sz w:val="28"/>
          <w:szCs w:val="28"/>
        </w:rPr>
        <w:t xml:space="preserve">calls, (Bylaw 3.11.1) to positions without </w:t>
      </w:r>
      <w:r w:rsidRPr="006D4A01">
        <w:rPr>
          <w:rFonts w:ascii="Book Antiqua" w:hAnsi="Book Antiqua" w:cstheme="majorBidi"/>
          <w:sz w:val="28"/>
          <w:szCs w:val="28"/>
        </w:rPr>
        <w:lastRenderedPageBreak/>
        <w:t xml:space="preserve">direct involvement in the proclamation of the Gospel and administration of the Sacraments may be amended to comply with the confessions; and be it further </w:t>
      </w:r>
    </w:p>
    <w:p w14:paraId="157ECB24" w14:textId="0ABDEBC6" w:rsidR="00885826" w:rsidRPr="006D4A01" w:rsidRDefault="00E055FB" w:rsidP="00FB5D52">
      <w:pPr>
        <w:spacing w:line="240" w:lineRule="auto"/>
        <w:ind w:firstLine="360"/>
        <w:rPr>
          <w:rFonts w:ascii="Book Antiqua" w:hAnsi="Book Antiqua" w:cstheme="majorBidi"/>
          <w:caps/>
          <w:sz w:val="28"/>
          <w:szCs w:val="28"/>
        </w:rPr>
      </w:pPr>
      <w:r w:rsidRPr="006D4A01">
        <w:rPr>
          <w:rFonts w:ascii="Book Antiqua" w:hAnsi="Book Antiqua" w:cstheme="majorBidi"/>
          <w:i/>
          <w:sz w:val="28"/>
          <w:szCs w:val="28"/>
        </w:rPr>
        <w:t>Resolved</w:t>
      </w:r>
      <w:r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Pr="006D4A01">
        <w:rPr>
          <w:rFonts w:ascii="Book Antiqua" w:hAnsi="Book Antiqua" w:cstheme="majorBidi"/>
          <w:sz w:val="28"/>
          <w:szCs w:val="28"/>
        </w:rPr>
        <w:t>hat by July 30, 202</w:t>
      </w:r>
      <w:r w:rsidR="009D2995" w:rsidRPr="006D4A01">
        <w:rPr>
          <w:rFonts w:ascii="Book Antiqua" w:hAnsi="Book Antiqua" w:cstheme="majorBidi"/>
          <w:caps/>
          <w:sz w:val="28"/>
          <w:szCs w:val="28"/>
        </w:rPr>
        <w:t>8</w:t>
      </w:r>
      <w:r w:rsidRPr="006D4A01">
        <w:rPr>
          <w:rFonts w:ascii="Book Antiqua" w:hAnsi="Book Antiqua" w:cstheme="majorBidi"/>
          <w:sz w:val="28"/>
          <w:szCs w:val="28"/>
        </w:rPr>
        <w:t xml:space="preserve"> this committee make its recommendations to the </w:t>
      </w:r>
      <w:r w:rsidR="00077E0A" w:rsidRPr="006D4A01">
        <w:rPr>
          <w:rFonts w:ascii="Book Antiqua" w:hAnsi="Book Antiqua" w:cstheme="majorBidi"/>
          <w:sz w:val="28"/>
          <w:szCs w:val="28"/>
        </w:rPr>
        <w:t>LCMS</w:t>
      </w:r>
      <w:r w:rsidRPr="006D4A01">
        <w:rPr>
          <w:rFonts w:ascii="Book Antiqua" w:hAnsi="Book Antiqua" w:cstheme="majorBidi"/>
          <w:sz w:val="28"/>
          <w:szCs w:val="28"/>
        </w:rPr>
        <w:t xml:space="preserve"> Board of Directors (BOD) regarding </w:t>
      </w:r>
      <w:r w:rsidR="00077E0A" w:rsidRPr="006D4A01">
        <w:rPr>
          <w:rFonts w:ascii="Book Antiqua" w:hAnsi="Book Antiqua" w:cstheme="majorBidi"/>
          <w:sz w:val="28"/>
          <w:szCs w:val="28"/>
        </w:rPr>
        <w:t>LCMS</w:t>
      </w:r>
      <w:r w:rsidRPr="006D4A01">
        <w:rPr>
          <w:rFonts w:ascii="Book Antiqua" w:hAnsi="Book Antiqua" w:cstheme="majorBidi"/>
          <w:sz w:val="28"/>
          <w:szCs w:val="28"/>
        </w:rPr>
        <w:t xml:space="preserve"> practice on the calls it issues</w:t>
      </w:r>
      <w:r w:rsidR="006C63A2" w:rsidRPr="006D4A01">
        <w:rPr>
          <w:rFonts w:ascii="Book Antiqua" w:hAnsi="Book Antiqua" w:cstheme="majorBidi"/>
          <w:sz w:val="28"/>
          <w:szCs w:val="28"/>
        </w:rPr>
        <w:t>;</w:t>
      </w:r>
      <w:r w:rsidRPr="006D4A01">
        <w:rPr>
          <w:rFonts w:ascii="Book Antiqua" w:hAnsi="Book Antiqua" w:cstheme="majorBidi"/>
          <w:sz w:val="28"/>
          <w:szCs w:val="28"/>
        </w:rPr>
        <w:t xml:space="preserve"> and be it finally</w:t>
      </w:r>
    </w:p>
    <w:p w14:paraId="66C81BEF" w14:textId="2A663CE7" w:rsidR="009D2995" w:rsidRPr="006D4A01" w:rsidRDefault="00E055FB" w:rsidP="009D2995">
      <w:pPr>
        <w:spacing w:line="240" w:lineRule="auto"/>
        <w:ind w:firstLine="360"/>
        <w:rPr>
          <w:rFonts w:ascii="Book Antiqua" w:hAnsi="Book Antiqua" w:cstheme="majorBidi"/>
          <w:caps/>
          <w:sz w:val="28"/>
          <w:szCs w:val="28"/>
        </w:rPr>
      </w:pPr>
      <w:r w:rsidRPr="006D4A01">
        <w:rPr>
          <w:rFonts w:ascii="Book Antiqua" w:hAnsi="Book Antiqua" w:cstheme="majorBidi"/>
          <w:i/>
          <w:iCs/>
          <w:sz w:val="28"/>
          <w:szCs w:val="28"/>
        </w:rPr>
        <w:t>Resolved</w:t>
      </w:r>
      <w:r w:rsidRPr="006D4A01">
        <w:rPr>
          <w:rFonts w:ascii="Book Antiqua" w:hAnsi="Book Antiqua" w:cstheme="majorBidi"/>
          <w:sz w:val="28"/>
          <w:szCs w:val="28"/>
        </w:rPr>
        <w:t xml:space="preserve">, </w:t>
      </w:r>
      <w:r w:rsidR="00E256C1" w:rsidRPr="006D4A01">
        <w:rPr>
          <w:rFonts w:ascii="Book Antiqua" w:hAnsi="Book Antiqua" w:cstheme="majorBidi"/>
          <w:sz w:val="28"/>
          <w:szCs w:val="28"/>
        </w:rPr>
        <w:t>T</w:t>
      </w:r>
      <w:r w:rsidRPr="006D4A01">
        <w:rPr>
          <w:rFonts w:ascii="Book Antiqua" w:hAnsi="Book Antiqua" w:cstheme="majorBidi"/>
          <w:sz w:val="28"/>
          <w:szCs w:val="28"/>
        </w:rPr>
        <w:t xml:space="preserve">hat these recommendations, together with the BOD response to the recommendations be reported to the </w:t>
      </w:r>
      <w:r w:rsidR="00077E0A" w:rsidRPr="006D4A01">
        <w:rPr>
          <w:rFonts w:ascii="Book Antiqua" w:hAnsi="Book Antiqua" w:cstheme="majorBidi"/>
          <w:sz w:val="28"/>
          <w:szCs w:val="28"/>
        </w:rPr>
        <w:t>LCMS</w:t>
      </w:r>
      <w:r w:rsidRPr="006D4A01">
        <w:rPr>
          <w:rFonts w:ascii="Book Antiqua" w:hAnsi="Book Antiqua" w:cstheme="majorBidi"/>
          <w:sz w:val="28"/>
          <w:szCs w:val="28"/>
        </w:rPr>
        <w:t xml:space="preserve"> convention in 202</w:t>
      </w:r>
      <w:r w:rsidR="003B43B5" w:rsidRPr="006D4A01">
        <w:rPr>
          <w:rFonts w:ascii="Book Antiqua" w:hAnsi="Book Antiqua" w:cstheme="majorBidi"/>
          <w:caps/>
          <w:sz w:val="28"/>
          <w:szCs w:val="28"/>
        </w:rPr>
        <w:t>9</w:t>
      </w:r>
      <w:r w:rsidR="00885826" w:rsidRPr="006D4A01">
        <w:rPr>
          <w:rFonts w:ascii="Book Antiqua" w:hAnsi="Book Antiqua" w:cstheme="majorBidi"/>
          <w:caps/>
          <w:sz w:val="28"/>
          <w:szCs w:val="28"/>
        </w:rPr>
        <w:t>.</w:t>
      </w:r>
      <w:r w:rsidR="009D2995" w:rsidRPr="006D4A01">
        <w:rPr>
          <w:rFonts w:ascii="Book Antiqua" w:hAnsi="Book Antiqua" w:cstheme="majorBidi"/>
          <w:caps/>
          <w:sz w:val="28"/>
          <w:szCs w:val="28"/>
        </w:rPr>
        <w:t xml:space="preserve">  </w:t>
      </w:r>
    </w:p>
    <w:p w14:paraId="40613E9E" w14:textId="628D33D7" w:rsidR="009D2995" w:rsidRPr="006D4A01" w:rsidRDefault="009D2995" w:rsidP="009D2995">
      <w:pPr>
        <w:spacing w:line="240" w:lineRule="auto"/>
        <w:jc w:val="right"/>
        <w:rPr>
          <w:rFonts w:ascii="Book Antiqua" w:hAnsi="Book Antiqua" w:cstheme="majorBidi"/>
          <w:sz w:val="28"/>
          <w:szCs w:val="28"/>
        </w:rPr>
      </w:pPr>
      <w:r w:rsidRPr="006D4A01">
        <w:rPr>
          <w:rFonts w:ascii="Book Antiqua" w:hAnsi="Book Antiqua" w:cstheme="majorBidi"/>
          <w:sz w:val="28"/>
          <w:szCs w:val="28"/>
        </w:rPr>
        <w:t>Rev. Ja</w:t>
      </w:r>
      <w:r w:rsidR="00960BA2" w:rsidRPr="006D4A01">
        <w:rPr>
          <w:rFonts w:ascii="Book Antiqua" w:hAnsi="Book Antiqua" w:cstheme="majorBidi"/>
          <w:sz w:val="28"/>
          <w:szCs w:val="28"/>
        </w:rPr>
        <w:t>k</w:t>
      </w:r>
      <w:r w:rsidRPr="006D4A01">
        <w:rPr>
          <w:rFonts w:ascii="Book Antiqua" w:hAnsi="Book Antiqua" w:cstheme="majorBidi"/>
          <w:sz w:val="28"/>
          <w:szCs w:val="28"/>
        </w:rPr>
        <w:t>ob Berger, Chairman</w:t>
      </w:r>
      <w:r w:rsidR="00960BA2" w:rsidRPr="006D4A01">
        <w:rPr>
          <w:rFonts w:ascii="Book Antiqua" w:hAnsi="Book Antiqua" w:cstheme="majorBidi"/>
          <w:sz w:val="28"/>
          <w:szCs w:val="28"/>
        </w:rPr>
        <w:t>,</w:t>
      </w:r>
      <w:r w:rsidRPr="006D4A01">
        <w:rPr>
          <w:rFonts w:ascii="Book Antiqua" w:hAnsi="Book Antiqua" w:cstheme="majorBidi"/>
          <w:sz w:val="28"/>
          <w:szCs w:val="28"/>
        </w:rPr>
        <w:t xml:space="preserve"> Floor Committee 1</w:t>
      </w:r>
    </w:p>
    <w:p w14:paraId="06CB862A" w14:textId="6A3BF832" w:rsidR="009D2995" w:rsidRPr="006D4A01" w:rsidRDefault="009D2995" w:rsidP="009D2995">
      <w:pPr>
        <w:spacing w:line="240" w:lineRule="auto"/>
        <w:jc w:val="right"/>
        <w:rPr>
          <w:rFonts w:ascii="Book Antiqua" w:hAnsi="Book Antiqua" w:cstheme="majorBidi"/>
          <w:sz w:val="28"/>
          <w:szCs w:val="28"/>
        </w:rPr>
      </w:pPr>
      <w:r w:rsidRPr="006D4A01">
        <w:rPr>
          <w:rFonts w:ascii="Book Antiqua" w:hAnsi="Book Antiqua" w:cstheme="majorBidi"/>
          <w:sz w:val="28"/>
          <w:szCs w:val="28"/>
        </w:rPr>
        <w:t>Rev. Dr. Gerald Paul, Secretary</w:t>
      </w:r>
      <w:r w:rsidR="00960BA2" w:rsidRPr="006D4A01">
        <w:rPr>
          <w:rFonts w:ascii="Book Antiqua" w:hAnsi="Book Antiqua" w:cstheme="majorBidi"/>
          <w:sz w:val="28"/>
          <w:szCs w:val="28"/>
        </w:rPr>
        <w:t>,</w:t>
      </w:r>
      <w:r w:rsidRPr="006D4A01">
        <w:rPr>
          <w:rFonts w:ascii="Book Antiqua" w:hAnsi="Book Antiqua" w:cstheme="majorBidi"/>
          <w:sz w:val="28"/>
          <w:szCs w:val="28"/>
        </w:rPr>
        <w:t xml:space="preserve"> Floor Committee 1</w:t>
      </w:r>
    </w:p>
    <w:p w14:paraId="0D6164DE" w14:textId="0D924B59" w:rsidR="006C63A2" w:rsidRPr="006D4A01" w:rsidRDefault="006C63A2" w:rsidP="00FB5D52">
      <w:pPr>
        <w:spacing w:line="240" w:lineRule="auto"/>
        <w:rPr>
          <w:rFonts w:ascii="Book Antiqua" w:hAnsi="Book Antiqua" w:cstheme="majorBidi"/>
          <w:sz w:val="28"/>
          <w:szCs w:val="28"/>
        </w:rPr>
      </w:pPr>
      <w:r w:rsidRPr="006D4A01">
        <w:rPr>
          <w:rFonts w:ascii="Book Antiqua" w:hAnsi="Book Antiqua" w:cstheme="majorBidi"/>
          <w:sz w:val="28"/>
          <w:szCs w:val="28"/>
          <w:vertAlign w:val="superscript"/>
        </w:rPr>
        <w:t>1</w:t>
      </w:r>
      <w:r w:rsidRPr="006D4A01">
        <w:rPr>
          <w:rFonts w:ascii="Book Antiqua" w:hAnsi="Book Antiqua" w:cstheme="majorBidi"/>
          <w:sz w:val="28"/>
          <w:szCs w:val="28"/>
        </w:rPr>
        <w:t xml:space="preserve">All references from </w:t>
      </w:r>
      <w:r w:rsidRPr="006D4A01">
        <w:rPr>
          <w:rFonts w:ascii="Book Antiqua" w:hAnsi="Book Antiqua" w:cstheme="majorBidi"/>
          <w:i/>
          <w:sz w:val="28"/>
          <w:szCs w:val="28"/>
        </w:rPr>
        <w:t xml:space="preserve">Concordia The Lutheran Confessions, A Reader’s Edition of the Book of Concord </w:t>
      </w:r>
      <w:r w:rsidRPr="006D4A01">
        <w:rPr>
          <w:rFonts w:ascii="Book Antiqua" w:hAnsi="Book Antiqua" w:cstheme="majorBidi"/>
          <w:sz w:val="28"/>
          <w:szCs w:val="28"/>
        </w:rPr>
        <w:t>Second Edition, as cited (Saint Louis: Concordia Publishing House, 2006), 3</w:t>
      </w:r>
    </w:p>
    <w:sectPr w:rsidR="006C63A2" w:rsidRPr="006D4A01" w:rsidSect="009D2995">
      <w:pgSz w:w="12220" w:h="15840"/>
      <w:pgMar w:top="720" w:right="720" w:bottom="576" w:left="864" w:header="720" w:footer="720" w:gutter="0"/>
      <w:lnNumType w:countBy="1" w:distance="288" w:restart="newSection"/>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D563" w14:textId="77777777" w:rsidR="002E4A64" w:rsidRDefault="002E4A64">
      <w:pPr>
        <w:spacing w:after="0" w:line="240" w:lineRule="auto"/>
      </w:pPr>
      <w:r>
        <w:separator/>
      </w:r>
    </w:p>
  </w:endnote>
  <w:endnote w:type="continuationSeparator" w:id="0">
    <w:p w14:paraId="2334FBE4" w14:textId="77777777" w:rsidR="002E4A64" w:rsidRDefault="002E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C5B8" w14:textId="77777777" w:rsidR="002E4A64" w:rsidRDefault="002E4A64">
      <w:pPr>
        <w:spacing w:after="0" w:line="240" w:lineRule="auto"/>
      </w:pPr>
      <w:r>
        <w:separator/>
      </w:r>
    </w:p>
  </w:footnote>
  <w:footnote w:type="continuationSeparator" w:id="0">
    <w:p w14:paraId="07FC95EE" w14:textId="77777777" w:rsidR="002E4A64" w:rsidRDefault="002E4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E7"/>
    <w:rsid w:val="00015090"/>
    <w:rsid w:val="0005543B"/>
    <w:rsid w:val="0006780A"/>
    <w:rsid w:val="00077E0A"/>
    <w:rsid w:val="00086E80"/>
    <w:rsid w:val="00155AC4"/>
    <w:rsid w:val="00163D03"/>
    <w:rsid w:val="00190ABC"/>
    <w:rsid w:val="00270348"/>
    <w:rsid w:val="002C782E"/>
    <w:rsid w:val="002D77D1"/>
    <w:rsid w:val="002E4A64"/>
    <w:rsid w:val="00311485"/>
    <w:rsid w:val="00333DE7"/>
    <w:rsid w:val="003A243C"/>
    <w:rsid w:val="003B43B5"/>
    <w:rsid w:val="004C61B7"/>
    <w:rsid w:val="004E58EE"/>
    <w:rsid w:val="005B01DA"/>
    <w:rsid w:val="005C4FDE"/>
    <w:rsid w:val="005D3C6C"/>
    <w:rsid w:val="005E7AF1"/>
    <w:rsid w:val="00605121"/>
    <w:rsid w:val="00652D3E"/>
    <w:rsid w:val="006B315F"/>
    <w:rsid w:val="006C63A2"/>
    <w:rsid w:val="006D4A01"/>
    <w:rsid w:val="0075700C"/>
    <w:rsid w:val="00771F5B"/>
    <w:rsid w:val="00790CE3"/>
    <w:rsid w:val="00885826"/>
    <w:rsid w:val="00893AE1"/>
    <w:rsid w:val="00960BA2"/>
    <w:rsid w:val="009D2995"/>
    <w:rsid w:val="00A47C6E"/>
    <w:rsid w:val="00A5701A"/>
    <w:rsid w:val="00A824CE"/>
    <w:rsid w:val="00AE4EC0"/>
    <w:rsid w:val="00B208C3"/>
    <w:rsid w:val="00B57207"/>
    <w:rsid w:val="00CB0FFD"/>
    <w:rsid w:val="00D304F1"/>
    <w:rsid w:val="00D436B5"/>
    <w:rsid w:val="00D53F7C"/>
    <w:rsid w:val="00DB2A1A"/>
    <w:rsid w:val="00E055FB"/>
    <w:rsid w:val="00E256C1"/>
    <w:rsid w:val="00EA548E"/>
    <w:rsid w:val="00FB5D52"/>
    <w:rsid w:val="00FC29A2"/>
    <w:rsid w:val="00FD37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1DEDF4"/>
  <w15:chartTrackingRefBased/>
  <w15:docId w15:val="{E7113406-60B2-4D93-9F90-AF320F99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5F"/>
    <w:pPr>
      <w:suppressAutoHyphens/>
      <w:spacing w:after="160" w:line="256" w:lineRule="auto"/>
    </w:pPr>
    <w:rPr>
      <w:rFonts w:ascii="Calibri" w:eastAsia="SimSun"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Pr>
      <w:sz w:val="20"/>
      <w:szCs w:val="20"/>
    </w:rPr>
  </w:style>
  <w:style w:type="character" w:customStyle="1" w:styleId="FootnoteReference1">
    <w:name w:val="Footnote Reference1"/>
    <w:rPr>
      <w:vertAlign w:val="superscript"/>
    </w:rPr>
  </w:style>
  <w:style w:type="character" w:customStyle="1" w:styleId="LineNumber1">
    <w:name w:val="Line Number1"/>
    <w:basedOn w:val="DefaultParagraphFont"/>
  </w:style>
  <w:style w:type="character" w:customStyle="1" w:styleId="FootnoteCharacters">
    <w:name w:val="Footnote Characters"/>
  </w:style>
  <w:style w:type="character" w:styleId="FootnoteReference">
    <w:name w:val="footnote reference"/>
    <w:rPr>
      <w:vertAlign w:val="superscript"/>
    </w:rPr>
  </w:style>
  <w:style w:type="character" w:styleId="LineNumber">
    <w:name w:val="line numbe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customStyle="1" w:styleId="FootnoteText1">
    <w:name w:val="Footnote Text1"/>
    <w:basedOn w:val="Normal"/>
    <w:pPr>
      <w:spacing w:after="0" w:line="100" w:lineRule="atLeast"/>
    </w:pPr>
    <w:rPr>
      <w:sz w:val="20"/>
      <w:szCs w:val="20"/>
    </w:rPr>
  </w:style>
  <w:style w:type="paragraph" w:styleId="FootnoteText">
    <w:name w:val="footnote text"/>
    <w:basedOn w:val="Normal"/>
    <w:pPr>
      <w:suppressLineNumbers/>
      <w:ind w:left="283" w:hanging="283"/>
    </w:pPr>
    <w:rPr>
      <w:sz w:val="20"/>
      <w:szCs w:val="20"/>
    </w:rPr>
  </w:style>
  <w:style w:type="paragraph" w:styleId="Header">
    <w:name w:val="header"/>
    <w:basedOn w:val="Normal"/>
    <w:link w:val="HeaderChar"/>
    <w:uiPriority w:val="99"/>
    <w:unhideWhenUsed/>
    <w:rsid w:val="006C63A2"/>
    <w:pPr>
      <w:tabs>
        <w:tab w:val="center" w:pos="4680"/>
        <w:tab w:val="right" w:pos="9360"/>
      </w:tabs>
    </w:pPr>
  </w:style>
  <w:style w:type="character" w:customStyle="1" w:styleId="HeaderChar">
    <w:name w:val="Header Char"/>
    <w:link w:val="Header"/>
    <w:uiPriority w:val="99"/>
    <w:rsid w:val="006C63A2"/>
    <w:rPr>
      <w:rFonts w:ascii="Calibri" w:eastAsia="SimSun" w:hAnsi="Calibri"/>
      <w:sz w:val="22"/>
      <w:szCs w:val="22"/>
      <w:lang w:eastAsia="ar-SA"/>
    </w:rPr>
  </w:style>
  <w:style w:type="paragraph" w:styleId="Footer">
    <w:name w:val="footer"/>
    <w:basedOn w:val="Normal"/>
    <w:link w:val="FooterChar"/>
    <w:uiPriority w:val="99"/>
    <w:unhideWhenUsed/>
    <w:rsid w:val="006C63A2"/>
    <w:pPr>
      <w:tabs>
        <w:tab w:val="center" w:pos="4680"/>
        <w:tab w:val="right" w:pos="9360"/>
      </w:tabs>
    </w:pPr>
  </w:style>
  <w:style w:type="character" w:customStyle="1" w:styleId="FooterChar">
    <w:name w:val="Footer Char"/>
    <w:link w:val="Footer"/>
    <w:uiPriority w:val="99"/>
    <w:rsid w:val="006C63A2"/>
    <w:rPr>
      <w:rFonts w:ascii="Calibri" w:eastAsia="SimSun" w:hAnsi="Calibri"/>
      <w:sz w:val="22"/>
      <w:szCs w:val="22"/>
      <w:lang w:eastAsia="ar-SA"/>
    </w:rPr>
  </w:style>
  <w:style w:type="paragraph" w:styleId="NormalWeb">
    <w:name w:val="Normal (Web)"/>
    <w:basedOn w:val="Normal"/>
    <w:uiPriority w:val="99"/>
    <w:semiHidden/>
    <w:unhideWhenUsed/>
    <w:rsid w:val="005E7AF1"/>
    <w:pPr>
      <w:suppressAutoHyphens w:val="0"/>
      <w:spacing w:before="100" w:beforeAutospacing="1" w:after="100" w:afterAutospacing="1" w:line="240" w:lineRule="auto"/>
    </w:pPr>
    <w:rPr>
      <w:rFonts w:ascii="Times New Roman" w:eastAsia="Times New Roman" w:hAnsi="Times New Roman"/>
      <w:sz w:val="24"/>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cp:lastModifiedBy>Ryan Wendt</cp:lastModifiedBy>
  <cp:revision>11</cp:revision>
  <cp:lastPrinted>2025-04-27T20:00:00Z</cp:lastPrinted>
  <dcterms:created xsi:type="dcterms:W3CDTF">2025-06-03T15:08:00Z</dcterms:created>
  <dcterms:modified xsi:type="dcterms:W3CDTF">2025-06-09T19:28:00Z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